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50DCF" w:rsidRDefault="00450DCF" w:rsidP="00CA4C7E">
      <w:pPr>
        <w:pStyle w:val="Ttulo1"/>
        <w:rPr>
          <w:lang w:val="es-ES"/>
        </w:rPr>
      </w:pPr>
      <w:r>
        <w:rPr>
          <w:lang w:val="es-ES"/>
        </w:rPr>
        <w:t>Retenciones y autorretenciones a título de renta fueron fuertemente ajustadas con el Decreto 572 de mayo de 2025</w:t>
      </w:r>
    </w:p>
    <w:p w:rsidR="00643A8D" w:rsidRPr="00643A8D" w:rsidRDefault="00643A8D" w:rsidP="00643A8D">
      <w:pPr>
        <w:rPr>
          <w:color w:val="FF0000"/>
          <w:lang w:val="es-ES"/>
        </w:rPr>
      </w:pPr>
      <w:r>
        <w:rPr>
          <w:lang w:val="es-ES"/>
        </w:rPr>
        <w:t>(</w:t>
      </w:r>
      <w:r w:rsidRPr="00643A8D">
        <w:rPr>
          <w:color w:val="FF0000"/>
          <w:lang w:val="es-ES"/>
        </w:rPr>
        <w:t>elaborado en junio 1 de 2025)</w:t>
      </w:r>
    </w:p>
    <w:p w:rsidR="00450DCF" w:rsidRDefault="00CA4C7E">
      <w:pPr>
        <w:rPr>
          <w:lang w:val="es-ES"/>
        </w:rPr>
      </w:pPr>
      <w:r>
        <w:rPr>
          <w:noProof/>
          <w:lang w:val="es-ES"/>
        </w:rPr>
        <mc:AlternateContent>
          <mc:Choice Requires="wps">
            <w:drawing>
              <wp:anchor distT="0" distB="0" distL="114300" distR="114300" simplePos="0" relativeHeight="251659264" behindDoc="0" locked="0" layoutInCell="1" allowOverlap="1">
                <wp:simplePos x="0" y="0"/>
                <wp:positionH relativeFrom="column">
                  <wp:posOffset>-3003</wp:posOffset>
                </wp:positionH>
                <wp:positionV relativeFrom="paragraph">
                  <wp:posOffset>133436</wp:posOffset>
                </wp:positionV>
                <wp:extent cx="5401160" cy="1410346"/>
                <wp:effectExtent l="0" t="0" r="9525" b="12065"/>
                <wp:wrapNone/>
                <wp:docPr id="536203380" name="Cuadro de texto 1"/>
                <wp:cNvGraphicFramePr/>
                <a:graphic xmlns:a="http://schemas.openxmlformats.org/drawingml/2006/main">
                  <a:graphicData uri="http://schemas.microsoft.com/office/word/2010/wordprocessingShape">
                    <wps:wsp>
                      <wps:cNvSpPr txBox="1"/>
                      <wps:spPr>
                        <a:xfrm>
                          <a:off x="0" y="0"/>
                          <a:ext cx="5401160" cy="1410346"/>
                        </a:xfrm>
                        <a:prstGeom prst="rect">
                          <a:avLst/>
                        </a:prstGeom>
                        <a:solidFill>
                          <a:schemeClr val="lt1"/>
                        </a:solidFill>
                        <a:ln w="6350">
                          <a:solidFill>
                            <a:prstClr val="black"/>
                          </a:solidFill>
                        </a:ln>
                      </wps:spPr>
                      <wps:txbx>
                        <w:txbxContent>
                          <w:p w:rsidR="00CA4C7E" w:rsidRPr="00CA4C7E" w:rsidRDefault="00431A86">
                            <w:pPr>
                              <w:rPr>
                                <w:lang w:val="es-ES"/>
                              </w:rPr>
                            </w:pPr>
                            <w:r>
                              <w:rPr>
                                <w:rFonts w:ascii="Arial" w:hAnsi="Arial" w:cs="Arial"/>
                                <w:color w:val="222222"/>
                                <w:shd w:val="clear" w:color="auto" w:fill="FFFFFF"/>
                              </w:rPr>
                              <w:t>A partir de junio 1 de 2025 se elevan la mayoría de las tarifas para practicar autorretenciones a título de renta que deben ser aplicadas por sociedades que hagan uso de la exoneración de aportes de nómina y pertenezcan al régimen ordinario. También se disminuyen varias de las cuantías mínimas de las operaciones sujetas a retenciones a título de renta y que recaen sobre personas naturales y jurídicas del régimen ordinario. Ninguna de tales afectan a las personas naturales y jurídicas del régimen simple.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25pt;margin-top:10.5pt;width:425.3pt;height:111.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" fillcolor="white [3201]" strokeweight=".5pt">
                <v:textbox>
                  <w:txbxContent>
                    <w:p w:rsidR="00CA4C7E" w:rsidRPr="00CA4C7E" w:rsidRDefault="00431A86">
                      <w:pPr>
                        <w:rPr>
                          <w:lang w:val="es-ES"/>
                        </w:rPr>
                      </w:pPr>
                      <w:r>
                        <w:rPr>
                          <w:rFonts w:ascii="Arial" w:hAnsi="Arial" w:cs="Arial"/>
                          <w:color w:val="222222"/>
                          <w:shd w:val="clear" w:color="auto" w:fill="FFFFFF"/>
                        </w:rPr>
                        <w:t>A partir de junio 1 de 2025 se elevan la mayoría de las tarifas para practicar autorretenciones a título de renta que deben ser aplicadas por sociedades que hagan uso de la exoneración de aportes de nómina y pertenezcan al régimen ordinario. También se disminuyen varias de las cuantías mínimas de las operaciones sujetas a retenciones a título de renta y que recaen sobre personas naturales y jurídicas del régimen ordinario. Ninguna de tales afectan a las personas naturales y jurídicas del régimen simple.</w:t>
                      </w:r>
                    </w:p>
                  </w:txbxContent>
                </v:textbox>
              </v:shape>
            </w:pict>
          </mc:Fallback>
        </mc:AlternateContent>
      </w:r>
    </w:p>
    <w:p w:rsidR="00CA4C7E" w:rsidRDefault="00CA4C7E">
      <w:pPr>
        <w:rPr>
          <w:lang w:val="es-ES"/>
        </w:rPr>
      </w:pPr>
    </w:p>
    <w:p w:rsidR="00450DCF" w:rsidRDefault="00450DCF">
      <w:pPr>
        <w:rPr>
          <w:lang w:val="es-ES"/>
        </w:rPr>
      </w:pPr>
    </w:p>
    <w:p w:rsidR="00CA4C7E" w:rsidRDefault="00CA4C7E">
      <w:pPr>
        <w:rPr>
          <w:lang w:val="es-ES"/>
        </w:rPr>
      </w:pPr>
    </w:p>
    <w:p w:rsidR="00450DCF" w:rsidRDefault="00450DCF">
      <w:pPr>
        <w:rPr>
          <w:lang w:val="es-ES"/>
        </w:rPr>
      </w:pPr>
    </w:p>
    <w:p w:rsidR="00CA4C7E" w:rsidRDefault="00CA4C7E">
      <w:pPr>
        <w:rPr>
          <w:lang w:val="es-ES"/>
        </w:rPr>
      </w:pPr>
    </w:p>
    <w:p w:rsidR="00CA4C7E" w:rsidRDefault="00CA4C7E">
      <w:pPr>
        <w:rPr>
          <w:lang w:val="es-ES"/>
        </w:rPr>
      </w:pPr>
    </w:p>
    <w:p w:rsidR="00431A86" w:rsidRDefault="00431A86">
      <w:pPr>
        <w:rPr>
          <w:lang w:val="es-ES"/>
        </w:rPr>
      </w:pPr>
    </w:p>
    <w:p w:rsidR="00431A86" w:rsidRDefault="00431A86">
      <w:pPr>
        <w:rPr>
          <w:lang w:val="es-ES"/>
        </w:rPr>
      </w:pPr>
    </w:p>
    <w:p w:rsidR="00450DCF" w:rsidRDefault="00450DCF">
      <w:pPr>
        <w:rPr>
          <w:lang w:val="es-ES"/>
        </w:rPr>
      </w:pPr>
      <w:r>
        <w:rPr>
          <w:lang w:val="es-ES"/>
        </w:rPr>
        <w:t xml:space="preserve">Luego de haberlo anunciado </w:t>
      </w:r>
      <w:hyperlink r:id="rId5" w:history="1">
        <w:r w:rsidRPr="00FA7A82">
          <w:rPr>
            <w:rStyle w:val="Hipervnculo"/>
            <w:lang w:val="es-ES"/>
          </w:rPr>
          <w:t>en abril 10 de 2025 como un simple proyecto de decreto</w:t>
        </w:r>
      </w:hyperlink>
      <w:r>
        <w:rPr>
          <w:lang w:val="es-ES"/>
        </w:rPr>
        <w:t>, el nuevo ministro de Hacienda</w:t>
      </w:r>
      <w:r w:rsidR="008207BF">
        <w:rPr>
          <w:lang w:val="es-ES"/>
        </w:rPr>
        <w:t>, Germán Ávila Plazas (</w:t>
      </w:r>
      <w:hyperlink r:id="rId6" w:history="1">
        <w:r w:rsidR="008207BF" w:rsidRPr="008207BF">
          <w:rPr>
            <w:rStyle w:val="Hipervnculo"/>
            <w:lang w:val="es-ES"/>
          </w:rPr>
          <w:t>quien desde mediados de marzo de 2025 se convirtió en el cuarto ministro de hacienda del actual gobierno del señor Petro</w:t>
        </w:r>
      </w:hyperlink>
      <w:r w:rsidR="008207BF">
        <w:rPr>
          <w:lang w:val="es-ES"/>
        </w:rPr>
        <w:t xml:space="preserve">), decidió expedir el </w:t>
      </w:r>
      <w:hyperlink r:id="rId7" w:history="1">
        <w:r w:rsidR="008207BF" w:rsidRPr="00CB47F9">
          <w:rPr>
            <w:rStyle w:val="Hipervnculo"/>
            <w:lang w:val="es-ES"/>
          </w:rPr>
          <w:t>super polémico</w:t>
        </w:r>
        <w:r w:rsidR="00CB47F9" w:rsidRPr="00CB47F9">
          <w:rPr>
            <w:rStyle w:val="Hipervnculo"/>
            <w:lang w:val="es-ES"/>
          </w:rPr>
          <w:t xml:space="preserve"> </w:t>
        </w:r>
        <w:r w:rsidR="008207BF" w:rsidRPr="00CB47F9">
          <w:rPr>
            <w:rStyle w:val="Hipervnculo"/>
            <w:lang w:val="es-ES"/>
          </w:rPr>
          <w:t xml:space="preserve">Decreto 572 de mayo </w:t>
        </w:r>
        <w:r w:rsidR="00CB47F9" w:rsidRPr="00CB47F9">
          <w:rPr>
            <w:rStyle w:val="Hipervnculo"/>
            <w:lang w:val="es-ES"/>
          </w:rPr>
          <w:t xml:space="preserve">28 </w:t>
        </w:r>
        <w:r w:rsidR="008207BF" w:rsidRPr="00CB47F9">
          <w:rPr>
            <w:rStyle w:val="Hipervnculo"/>
            <w:lang w:val="es-ES"/>
          </w:rPr>
          <w:t>de 2025</w:t>
        </w:r>
      </w:hyperlink>
      <w:r w:rsidR="008207BF">
        <w:rPr>
          <w:lang w:val="es-ES"/>
        </w:rPr>
        <w:t xml:space="preserve"> </w:t>
      </w:r>
      <w:r w:rsidR="00CB47F9">
        <w:rPr>
          <w:lang w:val="es-ES"/>
        </w:rPr>
        <w:t xml:space="preserve">(que </w:t>
      </w:r>
      <w:hyperlink r:id="rId8" w:history="1">
        <w:r w:rsidR="00CB47F9" w:rsidRPr="00CB47F9">
          <w:rPr>
            <w:rStyle w:val="Hipervnculo"/>
            <w:lang w:val="es-ES"/>
          </w:rPr>
          <w:t xml:space="preserve">ya fue demandando ante el </w:t>
        </w:r>
        <w:r w:rsidR="00CB47F9">
          <w:rPr>
            <w:rStyle w:val="Hipervnculo"/>
            <w:lang w:val="es-ES"/>
          </w:rPr>
          <w:t>C</w:t>
        </w:r>
        <w:r w:rsidR="00CB47F9" w:rsidRPr="00CB47F9">
          <w:rPr>
            <w:rStyle w:val="Hipervnculo"/>
            <w:lang w:val="es-ES"/>
          </w:rPr>
          <w:t>onsejo de Estad</w:t>
        </w:r>
        <w:r w:rsidR="00CB47F9">
          <w:rPr>
            <w:rStyle w:val="Hipervnculo"/>
            <w:lang w:val="es-ES"/>
          </w:rPr>
          <w:t>o el 29 de mayo de 2025</w:t>
        </w:r>
      </w:hyperlink>
      <w:r w:rsidR="00CB47F9">
        <w:rPr>
          <w:lang w:val="es-ES"/>
        </w:rPr>
        <w:t xml:space="preserve">) y </w:t>
      </w:r>
      <w:r w:rsidR="008207BF">
        <w:rPr>
          <w:lang w:val="es-ES"/>
        </w:rPr>
        <w:t xml:space="preserve">con el cual se </w:t>
      </w:r>
      <w:r w:rsidR="00411B7E">
        <w:rPr>
          <w:lang w:val="es-ES"/>
        </w:rPr>
        <w:t>disminuyeron</w:t>
      </w:r>
      <w:r w:rsidR="00CB47F9">
        <w:rPr>
          <w:lang w:val="es-ES"/>
        </w:rPr>
        <w:t xml:space="preserve"> </w:t>
      </w:r>
      <w:r w:rsidR="00411B7E">
        <w:rPr>
          <w:lang w:val="es-ES"/>
        </w:rPr>
        <w:t>notoriamente,</w:t>
      </w:r>
      <w:r w:rsidR="008207BF">
        <w:rPr>
          <w:lang w:val="es-ES"/>
        </w:rPr>
        <w:t xml:space="preserve"> a partir de junio 1 de 2025</w:t>
      </w:r>
      <w:r w:rsidR="00411B7E">
        <w:rPr>
          <w:lang w:val="es-ES"/>
        </w:rPr>
        <w:t>,</w:t>
      </w:r>
      <w:r w:rsidR="008207BF">
        <w:rPr>
          <w:lang w:val="es-ES"/>
        </w:rPr>
        <w:t xml:space="preserve"> varias de las cuantías mínimas sujetas a retención a título de renta</w:t>
      </w:r>
      <w:r w:rsidR="00CB47F9">
        <w:rPr>
          <w:lang w:val="es-ES"/>
        </w:rPr>
        <w:t xml:space="preserve"> </w:t>
      </w:r>
      <w:r w:rsidR="007B71E0">
        <w:rPr>
          <w:lang w:val="es-ES"/>
        </w:rPr>
        <w:t xml:space="preserve">(las cuales solo afectarán a personas naturales y jurídicas del régimen ordinario pero no a las del régimen simple) </w:t>
      </w:r>
      <w:r w:rsidR="00CB47F9">
        <w:rPr>
          <w:lang w:val="es-ES"/>
        </w:rPr>
        <w:t>al igual que</w:t>
      </w:r>
      <w:r w:rsidR="00411B7E">
        <w:rPr>
          <w:lang w:val="es-ES"/>
        </w:rPr>
        <w:t xml:space="preserve"> se eleva</w:t>
      </w:r>
      <w:r w:rsidR="00B857FE">
        <w:rPr>
          <w:lang w:val="es-ES"/>
        </w:rPr>
        <w:t>ron</w:t>
      </w:r>
      <w:r w:rsidR="00CB47F9">
        <w:rPr>
          <w:lang w:val="es-ES"/>
        </w:rPr>
        <w:t xml:space="preserve"> varias de las tarifas para practicar autorretenciones especiales a título de renta</w:t>
      </w:r>
      <w:r w:rsidR="007B71E0">
        <w:rPr>
          <w:lang w:val="es-ES"/>
        </w:rPr>
        <w:t xml:space="preserve"> contempladas en el </w:t>
      </w:r>
      <w:hyperlink r:id="rId9" w:anchor="1.2.6.8" w:history="1">
        <w:r w:rsidR="007B71E0" w:rsidRPr="00955E9A">
          <w:rPr>
            <w:rStyle w:val="Hipervnculo"/>
            <w:lang w:val="es-ES"/>
          </w:rPr>
          <w:t>artículo 1.2.6.8 del DUT 1625 de 2016</w:t>
        </w:r>
      </w:hyperlink>
      <w:r w:rsidR="007B71E0">
        <w:rPr>
          <w:lang w:val="es-ES"/>
        </w:rPr>
        <w:t xml:space="preserve"> (las cuales afectan solo a las sociedades comerciales del régimen ordinario pero no a las del régimen simple</w:t>
      </w:r>
      <w:r w:rsidR="00955E9A">
        <w:rPr>
          <w:lang w:val="es-ES"/>
        </w:rPr>
        <w:t xml:space="preserve">; ver también el </w:t>
      </w:r>
      <w:hyperlink r:id="rId10" w:history="1">
        <w:r w:rsidR="00955E9A" w:rsidRPr="00955E9A">
          <w:rPr>
            <w:rStyle w:val="Hipervnculo"/>
            <w:lang w:val="es-ES"/>
          </w:rPr>
          <w:t>“ABC sobre el Decreto 578 de mayo de 2025” publicado por la DIAN en mayo 31 de 2025</w:t>
        </w:r>
      </w:hyperlink>
      <w:r w:rsidR="007B71E0">
        <w:rPr>
          <w:lang w:val="es-ES"/>
        </w:rPr>
        <w:t>)</w:t>
      </w:r>
    </w:p>
    <w:p w:rsidR="00CB47F9" w:rsidRDefault="00CB47F9">
      <w:pPr>
        <w:rPr>
          <w:lang w:val="es-ES"/>
        </w:rPr>
      </w:pPr>
    </w:p>
    <w:p w:rsidR="00411B7E" w:rsidRDefault="00CB47F9">
      <w:pPr>
        <w:rPr>
          <w:lang w:val="es-ES"/>
        </w:rPr>
      </w:pPr>
      <w:r>
        <w:rPr>
          <w:lang w:val="es-ES"/>
        </w:rPr>
        <w:t xml:space="preserve">De </w:t>
      </w:r>
      <w:r w:rsidR="003F398C">
        <w:rPr>
          <w:lang w:val="es-ES"/>
        </w:rPr>
        <w:t xml:space="preserve">acuerdo con los considerandos del </w:t>
      </w:r>
      <w:r w:rsidR="00B857FE">
        <w:rPr>
          <w:lang w:val="es-ES"/>
        </w:rPr>
        <w:t>D</w:t>
      </w:r>
      <w:r w:rsidR="003F398C">
        <w:rPr>
          <w:lang w:val="es-ES"/>
        </w:rPr>
        <w:t>ecreto 578 de mayo de 2025, el gobierno</w:t>
      </w:r>
      <w:r w:rsidR="00B857FE">
        <w:rPr>
          <w:lang w:val="es-ES"/>
        </w:rPr>
        <w:t xml:space="preserve"> decidió</w:t>
      </w:r>
      <w:r w:rsidR="003F398C">
        <w:rPr>
          <w:lang w:val="es-ES"/>
        </w:rPr>
        <w:t xml:space="preserve">, </w:t>
      </w:r>
      <w:r w:rsidR="00B857FE">
        <w:rPr>
          <w:lang w:val="es-ES"/>
        </w:rPr>
        <w:t xml:space="preserve">a causa de </w:t>
      </w:r>
      <w:r w:rsidR="003F398C">
        <w:rPr>
          <w:lang w:val="es-ES"/>
        </w:rPr>
        <w:t xml:space="preserve">sus actuales y notorios problemas presupuestales, aumentar las tarifas de autorretención especial a título de renta pues alega que ciertos sectores de la economía </w:t>
      </w:r>
      <w:r w:rsidR="00411B7E">
        <w:rPr>
          <w:lang w:val="es-ES"/>
        </w:rPr>
        <w:t>(</w:t>
      </w:r>
      <w:r w:rsidR="003F398C">
        <w:rPr>
          <w:lang w:val="es-ES"/>
        </w:rPr>
        <w:t xml:space="preserve">como el </w:t>
      </w:r>
      <w:r w:rsidR="00411B7E">
        <w:rPr>
          <w:lang w:val="es-ES"/>
        </w:rPr>
        <w:t xml:space="preserve">del cultivo de café y el de la construcción de las obras civiles) han tenido un repunte y eso les permiten asumir más retenciones que puedan llegar a ser casi iguales a su impuesto. </w:t>
      </w:r>
    </w:p>
    <w:p w:rsidR="00411B7E" w:rsidRDefault="00411B7E">
      <w:pPr>
        <w:rPr>
          <w:lang w:val="es-ES"/>
        </w:rPr>
      </w:pPr>
    </w:p>
    <w:p w:rsidR="00411B7E" w:rsidRDefault="00411B7E">
      <w:pPr>
        <w:rPr>
          <w:lang w:val="es-ES"/>
        </w:rPr>
      </w:pPr>
      <w:r>
        <w:rPr>
          <w:lang w:val="es-ES"/>
        </w:rPr>
        <w:t xml:space="preserve">Además, a los contribuyentes que se verán afectados con estos aumentos de sus autorretenciones los consuelan diciendo que, según el artículo 807 del ET, cuando tengan que calcular el anticipo al impuesto de renta del año siguiente (por ejemplo el anticipo al impuesto del año 2026), </w:t>
      </w:r>
      <w:r w:rsidR="00B857FE">
        <w:rPr>
          <w:lang w:val="es-ES"/>
        </w:rPr>
        <w:t>el mismo</w:t>
      </w:r>
      <w:r>
        <w:rPr>
          <w:lang w:val="es-ES"/>
        </w:rPr>
        <w:t xml:space="preserve"> les podrá salir más pequeño pues las retenciones y autorretenciones sirven justamente para disminuir el valor de dicho anticipo</w:t>
      </w:r>
      <w:r w:rsidR="00B857FE">
        <w:rPr>
          <w:lang w:val="es-ES"/>
        </w:rPr>
        <w:t>.</w:t>
      </w:r>
    </w:p>
    <w:p w:rsidR="00411B7E" w:rsidRDefault="00411B7E">
      <w:pPr>
        <w:rPr>
          <w:lang w:val="es-ES"/>
        </w:rPr>
      </w:pPr>
    </w:p>
    <w:p w:rsidR="00411B7E" w:rsidRDefault="00411B7E" w:rsidP="00B857FE">
      <w:pPr>
        <w:pStyle w:val="Ttulo2"/>
        <w:rPr>
          <w:lang w:val="es-ES"/>
        </w:rPr>
      </w:pPr>
      <w:r>
        <w:rPr>
          <w:lang w:val="es-ES"/>
        </w:rPr>
        <w:lastRenderedPageBreak/>
        <w:t>Los problemas que se generan con la disminución de las cuantías mínimas sujetas a retención a título de renta</w:t>
      </w:r>
    </w:p>
    <w:p w:rsidR="00411B7E" w:rsidRDefault="00B857FE">
      <w:pPr>
        <w:rPr>
          <w:lang w:val="es-ES"/>
        </w:rPr>
      </w:pPr>
      <w:r>
        <w:rPr>
          <w:lang w:val="es-ES"/>
        </w:rPr>
        <w:t xml:space="preserve">El artículo 2 del Decreto 578 de mayo de 2025 modificó el artículo </w:t>
      </w:r>
      <w:hyperlink r:id="rId11" w:anchor="1.2.4.4.1" w:history="1">
        <w:r w:rsidRPr="00955E9A">
          <w:rPr>
            <w:rStyle w:val="Hipervnculo"/>
            <w:lang w:val="es-ES"/>
          </w:rPr>
          <w:t>1.2.4.4.1. del DUT 1625 de 2016</w:t>
        </w:r>
      </w:hyperlink>
      <w:r>
        <w:rPr>
          <w:lang w:val="es-ES"/>
        </w:rPr>
        <w:t xml:space="preserve"> para disminuir de 4 UVT (actualmente $199.000) a solo 2 UVT ($100.000) la cuantía mínima sobre la cual se deberán practicar retenciones en la fuente a título de renta</w:t>
      </w:r>
      <w:r w:rsidR="00E97361">
        <w:rPr>
          <w:lang w:val="es-ES"/>
        </w:rPr>
        <w:t xml:space="preserve"> del 4% o 6%</w:t>
      </w:r>
      <w:r>
        <w:rPr>
          <w:lang w:val="es-ES"/>
        </w:rPr>
        <w:t xml:space="preserve"> (y hasta retenciones a título de IVA; ver artículo</w:t>
      </w:r>
      <w:r w:rsidR="00955E9A">
        <w:rPr>
          <w:lang w:val="es-ES"/>
        </w:rPr>
        <w:t>s</w:t>
      </w:r>
      <w:r>
        <w:rPr>
          <w:lang w:val="es-ES"/>
        </w:rPr>
        <w:t xml:space="preserve"> </w:t>
      </w:r>
      <w:hyperlink r:id="rId12" w:anchor="1.3.2.1.12" w:history="1">
        <w:r w:rsidRPr="00955E9A">
          <w:rPr>
            <w:rStyle w:val="Hipervnculo"/>
            <w:lang w:val="es-ES"/>
          </w:rPr>
          <w:t>1.3.2.1.12 y 1.3.2.1.13 del mismo DUT 1625 de 2016</w:t>
        </w:r>
      </w:hyperlink>
      <w:r>
        <w:rPr>
          <w:lang w:val="es-ES"/>
        </w:rPr>
        <w:t>) cuando los agentes de retención le efectúen pagos por concepto de servicios en general a favor de personas naturales residentes del régimen ordinario, o a favor de personas jurídicas  del régimen ordinario</w:t>
      </w:r>
      <w:r w:rsidR="003A5681">
        <w:rPr>
          <w:lang w:val="es-ES"/>
        </w:rPr>
        <w:t>.</w:t>
      </w:r>
    </w:p>
    <w:p w:rsidR="00B857FE" w:rsidRDefault="00B857FE">
      <w:pPr>
        <w:rPr>
          <w:lang w:val="es-ES"/>
        </w:rPr>
      </w:pPr>
    </w:p>
    <w:p w:rsidR="00411B7E" w:rsidRDefault="00B857FE" w:rsidP="00E97361">
      <w:pPr>
        <w:rPr>
          <w:lang w:val="es-ES"/>
        </w:rPr>
      </w:pPr>
      <w:r>
        <w:rPr>
          <w:lang w:val="es-ES"/>
        </w:rPr>
        <w:t>Además,</w:t>
      </w:r>
      <w:r w:rsidR="004026B8">
        <w:rPr>
          <w:lang w:val="es-ES"/>
        </w:rPr>
        <w:t xml:space="preserve"> los artículos 3 y 4 del mismo Decreto 578 de mayo de 2025 modificaron los </w:t>
      </w:r>
      <w:hyperlink r:id="rId13" w:anchor="1.3.2.1.12" w:history="1">
        <w:r w:rsidR="004026B8" w:rsidRPr="00955E9A">
          <w:rPr>
            <w:rStyle w:val="Hipervnculo"/>
            <w:lang w:val="es-ES"/>
          </w:rPr>
          <w:t>artículos 1.2.4.6.7 y 1.2.4.6.8 del DUT 1625 de 2016</w:t>
        </w:r>
      </w:hyperlink>
      <w:r w:rsidR="004026B8">
        <w:rPr>
          <w:lang w:val="es-ES"/>
        </w:rPr>
        <w:t xml:space="preserve"> estableciendo que </w:t>
      </w:r>
      <w:r>
        <w:rPr>
          <w:lang w:val="es-ES"/>
        </w:rPr>
        <w:t>para practicar retenciones a título de renta por la compra de productos agrícolas o pecuarios sin procesamiento industrial</w:t>
      </w:r>
      <w:r w:rsidR="00E97361">
        <w:rPr>
          <w:lang w:val="es-ES"/>
        </w:rPr>
        <w:t xml:space="preserve"> (y con la tarifa del 1,5%)</w:t>
      </w:r>
      <w:r>
        <w:rPr>
          <w:lang w:val="es-ES"/>
        </w:rPr>
        <w:t>, la cuantía mínima pas</w:t>
      </w:r>
      <w:r w:rsidR="004026B8">
        <w:rPr>
          <w:lang w:val="es-ES"/>
        </w:rPr>
        <w:t>a</w:t>
      </w:r>
      <w:r>
        <w:rPr>
          <w:lang w:val="es-ES"/>
        </w:rPr>
        <w:t xml:space="preserve"> de 92 UVT (actualmente $</w:t>
      </w:r>
      <w:r w:rsidR="00E97361">
        <w:rPr>
          <w:lang w:val="es-ES"/>
        </w:rPr>
        <w:t>4.582.000</w:t>
      </w:r>
      <w:r>
        <w:rPr>
          <w:lang w:val="es-ES"/>
        </w:rPr>
        <w:t>) a solo 70 UVT</w:t>
      </w:r>
      <w:r w:rsidR="00E97361">
        <w:rPr>
          <w:lang w:val="es-ES"/>
        </w:rPr>
        <w:t xml:space="preserve"> ($3.486.000)</w:t>
      </w:r>
      <w:r>
        <w:rPr>
          <w:lang w:val="es-ES"/>
        </w:rPr>
        <w:t>. Y en el caso de las compras de café pergamino, la</w:t>
      </w:r>
      <w:r w:rsidR="00E97361">
        <w:rPr>
          <w:lang w:val="es-ES"/>
        </w:rPr>
        <w:t xml:space="preserve">s retenciones en la fuente (con </w:t>
      </w:r>
      <w:r w:rsidR="003A5681">
        <w:rPr>
          <w:lang w:val="es-ES"/>
        </w:rPr>
        <w:t xml:space="preserve">la </w:t>
      </w:r>
      <w:r w:rsidR="00E97361">
        <w:rPr>
          <w:lang w:val="es-ES"/>
        </w:rPr>
        <w:t>tarifa del 0,5%</w:t>
      </w:r>
      <w:r w:rsidR="003A5681">
        <w:rPr>
          <w:lang w:val="es-ES"/>
        </w:rPr>
        <w:t xml:space="preserve"> que no fue modificada</w:t>
      </w:r>
      <w:r w:rsidR="00E97361">
        <w:rPr>
          <w:lang w:val="es-ES"/>
        </w:rPr>
        <w:t>) ya no se practicará para compras superiores a 160 UVT (actualmente $7.968.000) sino para compras que superen 70 UVT (actualmente $3.386.000)</w:t>
      </w:r>
      <w:r w:rsidR="004026B8">
        <w:rPr>
          <w:lang w:val="es-ES"/>
        </w:rPr>
        <w:t>.</w:t>
      </w:r>
    </w:p>
    <w:p w:rsidR="004026B8" w:rsidRDefault="004026B8" w:rsidP="00E97361">
      <w:pPr>
        <w:rPr>
          <w:lang w:val="es-ES"/>
        </w:rPr>
      </w:pPr>
    </w:p>
    <w:p w:rsidR="004026B8" w:rsidRDefault="004026B8" w:rsidP="00E97361">
      <w:pPr>
        <w:rPr>
          <w:lang w:val="es-ES"/>
        </w:rPr>
      </w:pPr>
      <w:r>
        <w:rPr>
          <w:lang w:val="es-ES"/>
        </w:rPr>
        <w:t xml:space="preserve">Por su parte, los  artículos 5 y 6 del Decreto 578 de mayo de 2025  modificaron los artículos </w:t>
      </w:r>
      <w:hyperlink r:id="rId14" w:anchor="1.2.4.6.9" w:history="1">
        <w:r w:rsidRPr="00955E9A">
          <w:rPr>
            <w:rStyle w:val="Hipervnculo"/>
            <w:lang w:val="es-ES"/>
          </w:rPr>
          <w:t>1.2.4.6.9</w:t>
        </w:r>
      </w:hyperlink>
      <w:r>
        <w:rPr>
          <w:lang w:val="es-ES"/>
        </w:rPr>
        <w:t xml:space="preserve"> y </w:t>
      </w:r>
      <w:hyperlink r:id="rId15" w:anchor="1.2.4.9.1" w:history="1">
        <w:r w:rsidRPr="00955E9A">
          <w:rPr>
            <w:rStyle w:val="Hipervnculo"/>
            <w:lang w:val="es-ES"/>
          </w:rPr>
          <w:t xml:space="preserve">1.2.4.9.1 </w:t>
        </w:r>
        <w:r w:rsidR="003A5681" w:rsidRPr="00955E9A">
          <w:rPr>
            <w:rStyle w:val="Hipervnculo"/>
            <w:lang w:val="es-ES"/>
          </w:rPr>
          <w:t>del DUT 1625 de 2016</w:t>
        </w:r>
      </w:hyperlink>
      <w:r w:rsidR="003A5681">
        <w:rPr>
          <w:lang w:val="es-ES"/>
        </w:rPr>
        <w:t xml:space="preserve"> </w:t>
      </w:r>
      <w:r>
        <w:rPr>
          <w:lang w:val="es-ES"/>
        </w:rPr>
        <w:t xml:space="preserve">para establecer que en las compras en general que no tengan otra cuantía especial la retención se seguirá practicando, ya no sobre valores que superen 27 UVT ($1.345.000) sino sobre valores que superen 10 UVT ($498.000). Además, si la compra es de oro y la efectúa una sociedad de comercialización internacional, en tal caso la tarifa de retención a título de renta se eleva de 1% a 2,5%. </w:t>
      </w:r>
    </w:p>
    <w:p w:rsidR="004026B8" w:rsidRDefault="004026B8" w:rsidP="00E97361">
      <w:pPr>
        <w:rPr>
          <w:lang w:val="es-ES"/>
        </w:rPr>
      </w:pPr>
    </w:p>
    <w:p w:rsidR="00E97361" w:rsidRDefault="004026B8" w:rsidP="00E97361">
      <w:pPr>
        <w:rPr>
          <w:lang w:val="es-ES"/>
        </w:rPr>
      </w:pPr>
      <w:r>
        <w:rPr>
          <w:lang w:val="es-ES"/>
        </w:rPr>
        <w:t>Además, c</w:t>
      </w:r>
      <w:r w:rsidRPr="004026B8">
        <w:rPr>
          <w:lang w:val="es-ES"/>
        </w:rPr>
        <w:t xml:space="preserve">uando el pago o abono en cuenta corresponda a la adquisición de bienes raíces </w:t>
      </w:r>
      <w:r w:rsidR="00C333B5">
        <w:rPr>
          <w:lang w:val="es-ES"/>
        </w:rPr>
        <w:t xml:space="preserve">vendidos por una persona jurídica y </w:t>
      </w:r>
      <w:r w:rsidRPr="004026B8">
        <w:rPr>
          <w:lang w:val="es-ES"/>
        </w:rPr>
        <w:t>cuya destinación y uso se</w:t>
      </w:r>
      <w:r w:rsidR="00C333B5">
        <w:rPr>
          <w:lang w:val="es-ES"/>
        </w:rPr>
        <w:t>a</w:t>
      </w:r>
      <w:r w:rsidRPr="004026B8">
        <w:rPr>
          <w:lang w:val="es-ES"/>
        </w:rPr>
        <w:t xml:space="preserve"> vivienda de habitación, la retención prevista en este artículo s</w:t>
      </w:r>
      <w:r>
        <w:rPr>
          <w:lang w:val="es-ES"/>
        </w:rPr>
        <w:t xml:space="preserve">e seguirá practicando con el </w:t>
      </w:r>
      <w:r w:rsidRPr="004026B8">
        <w:rPr>
          <w:lang w:val="es-ES"/>
        </w:rPr>
        <w:t xml:space="preserve">1% </w:t>
      </w:r>
      <w:r>
        <w:rPr>
          <w:lang w:val="es-ES"/>
        </w:rPr>
        <w:t xml:space="preserve">pero ya no sobre cuantías que superen 20.000 UVT (actualmente $995.980.000) sino sobre las que superen 10.000 ($497.990.000). </w:t>
      </w:r>
      <w:r w:rsidRPr="004026B8">
        <w:rPr>
          <w:lang w:val="es-ES"/>
        </w:rPr>
        <w:t>Para el exceso de dicho monto, la tarifa de retención s</w:t>
      </w:r>
      <w:r>
        <w:rPr>
          <w:lang w:val="es-ES"/>
        </w:rPr>
        <w:t>eguirá siendo del 2,5%</w:t>
      </w:r>
      <w:r w:rsidR="00C333B5">
        <w:rPr>
          <w:lang w:val="es-ES"/>
        </w:rPr>
        <w:t xml:space="preserve">. Recuérdese que si el inmueble lo vende una persona natural (y sin importar el uso que se le </w:t>
      </w:r>
      <w:proofErr w:type="spellStart"/>
      <w:r w:rsidR="00C333B5">
        <w:rPr>
          <w:lang w:val="es-ES"/>
        </w:rPr>
        <w:t>de</w:t>
      </w:r>
      <w:proofErr w:type="spellEnd"/>
      <w:r w:rsidR="00C333B5">
        <w:rPr>
          <w:lang w:val="es-ES"/>
        </w:rPr>
        <w:t xml:space="preserve"> al inmueble), en tal caso el notario seguirá practicando el 1% sobre cuantías que superen las 10 UVT (ver artículo 398 del ET)</w:t>
      </w:r>
    </w:p>
    <w:p w:rsidR="003A5681" w:rsidRDefault="003A5681" w:rsidP="00E97361">
      <w:pPr>
        <w:rPr>
          <w:lang w:val="es-ES"/>
        </w:rPr>
      </w:pPr>
    </w:p>
    <w:p w:rsidR="003A5681" w:rsidRDefault="003A5681" w:rsidP="00E97361">
      <w:pPr>
        <w:rPr>
          <w:lang w:val="es-ES"/>
        </w:rPr>
      </w:pPr>
      <w:r>
        <w:rPr>
          <w:lang w:val="es-ES"/>
        </w:rPr>
        <w:t xml:space="preserve">Por todo lo anterior, es claro que muchas más personas naturales residentes del régimen ordinario, e igualmente muchas personas jurídicas del régimen ordinario, y solo si sus clientes son agentes de retención, quedarán sujetas a mayores valores por retenciones a título de renta. </w:t>
      </w:r>
      <w:r w:rsidR="00243A1F">
        <w:rPr>
          <w:lang w:val="es-ES"/>
        </w:rPr>
        <w:t xml:space="preserve">Lo anterior significará que aquellas que arrojen pérdida fiscal al final del año terminarían formando saldos a favor los cuales tendrán que decidir si los solicitan o no en devolución, o si los arrastran al periodo siguiente. </w:t>
      </w:r>
    </w:p>
    <w:p w:rsidR="003A5681" w:rsidRDefault="003A5681" w:rsidP="00E97361">
      <w:pPr>
        <w:rPr>
          <w:lang w:val="es-ES"/>
        </w:rPr>
      </w:pPr>
    </w:p>
    <w:p w:rsidR="003A5681" w:rsidRDefault="00243A1F" w:rsidP="00E97361">
      <w:pPr>
        <w:rPr>
          <w:lang w:val="es-ES"/>
        </w:rPr>
      </w:pPr>
      <w:r>
        <w:rPr>
          <w:lang w:val="es-ES"/>
        </w:rPr>
        <w:t>Además</w:t>
      </w:r>
      <w:r w:rsidR="003A5681">
        <w:rPr>
          <w:lang w:val="es-ES"/>
        </w:rPr>
        <w:t xml:space="preserve">, para los casos en que se haya elevado la tarifa de retención (como es el caso de la retención sobre compras de oro que efectúen las sociedades de comercialización </w:t>
      </w:r>
      <w:r w:rsidR="003A5681">
        <w:rPr>
          <w:lang w:val="es-ES"/>
        </w:rPr>
        <w:lastRenderedPageBreak/>
        <w:t xml:space="preserve">internacional la cual pasó del 1% a 2,5%), debe tenerse presente que dicho aumento se puede esquivar si el comprador no efectúa el pago con sus propios recursos sino que lo realiza utilizando tarjetas débito o crédito pues en tal caso los únicos que practicarán la retención, y con la tarifa del 1,5%, son las entidades financieras que emiten dichas tarjetas (ver </w:t>
      </w:r>
      <w:hyperlink r:id="rId16" w:anchor="1.3.2.1.8" w:history="1">
        <w:r w:rsidR="003A5681" w:rsidRPr="00955E9A">
          <w:rPr>
            <w:rStyle w:val="Hipervnculo"/>
            <w:lang w:val="es-ES"/>
          </w:rPr>
          <w:t>artículo 1.3.2.1.8 del DUT 1625 de 2016</w:t>
        </w:r>
      </w:hyperlink>
      <w:r w:rsidR="003A5681">
        <w:rPr>
          <w:lang w:val="es-ES"/>
        </w:rPr>
        <w:t>)</w:t>
      </w:r>
      <w:r>
        <w:rPr>
          <w:lang w:val="es-ES"/>
        </w:rPr>
        <w:t>.</w:t>
      </w:r>
    </w:p>
    <w:p w:rsidR="00243A1F" w:rsidRDefault="00243A1F" w:rsidP="00E97361">
      <w:pPr>
        <w:rPr>
          <w:lang w:val="es-ES"/>
        </w:rPr>
      </w:pPr>
    </w:p>
    <w:p w:rsidR="00243A1F" w:rsidRDefault="00243A1F" w:rsidP="00243A1F">
      <w:pPr>
        <w:pStyle w:val="Ttulo2"/>
        <w:rPr>
          <w:lang w:val="es-ES"/>
        </w:rPr>
      </w:pPr>
      <w:r>
        <w:rPr>
          <w:lang w:val="es-ES"/>
        </w:rPr>
        <w:t>Los problemas que se generan con el aumento de las tarifas de autorretención especial a título de renta</w:t>
      </w:r>
    </w:p>
    <w:p w:rsidR="00243A1F" w:rsidRDefault="00243A1F" w:rsidP="00243A1F">
      <w:pPr>
        <w:rPr>
          <w:lang w:val="es-ES"/>
        </w:rPr>
      </w:pPr>
      <w:r>
        <w:rPr>
          <w:lang w:val="es-ES"/>
        </w:rPr>
        <w:t xml:space="preserve">El artículo 8 del Decreto 578 de mayo de 2025 </w:t>
      </w:r>
      <w:proofErr w:type="spellStart"/>
      <w:r>
        <w:rPr>
          <w:lang w:val="es-ES"/>
        </w:rPr>
        <w:t>reexpedió</w:t>
      </w:r>
      <w:proofErr w:type="spellEnd"/>
      <w:r>
        <w:rPr>
          <w:lang w:val="es-ES"/>
        </w:rPr>
        <w:t xml:space="preserve"> en su totalidad el texto del artículo 1.2.6.8 del DUT 1625 de 2016 para establecer que las </w:t>
      </w:r>
      <w:proofErr w:type="spellStart"/>
      <w:r>
        <w:rPr>
          <w:lang w:val="es-ES"/>
        </w:rPr>
        <w:t>sociedaes</w:t>
      </w:r>
      <w:proofErr w:type="spellEnd"/>
      <w:r>
        <w:rPr>
          <w:lang w:val="es-ES"/>
        </w:rPr>
        <w:t xml:space="preserve"> del régimen ordinario que sí estén haciendo uso de la exoneración del 9% de aportes de nómina al SENA, ICBF y EPS del artículo 114-1 del ET, en tal caso tendrán que empezar a practicarse mayores autorretenciones.</w:t>
      </w:r>
    </w:p>
    <w:p w:rsidR="00243A1F" w:rsidRDefault="00243A1F" w:rsidP="00243A1F">
      <w:pPr>
        <w:rPr>
          <w:lang w:val="es-ES"/>
        </w:rPr>
      </w:pPr>
    </w:p>
    <w:p w:rsidR="00F14E26" w:rsidRDefault="00F14E26" w:rsidP="00E97361">
      <w:pPr>
        <w:rPr>
          <w:lang w:val="es-ES"/>
        </w:rPr>
      </w:pPr>
      <w:r>
        <w:rPr>
          <w:lang w:val="es-ES"/>
        </w:rPr>
        <w:t xml:space="preserve">Al respecto, debe recordarse que las tarifas iniciales de dichas autorretenciones habían sido fijadas en el gobierno de Juan Manuel Santos con el Decreto 2201 de diciembre de 2016 (con tarifas del 0,4%, 0,8% y 1,6%). Y luego, </w:t>
      </w:r>
      <w:hyperlink r:id="rId17" w:history="1">
        <w:r w:rsidRPr="00316E09">
          <w:rPr>
            <w:rStyle w:val="Hipervnculo"/>
            <w:lang w:val="es-ES"/>
          </w:rPr>
          <w:t>con el Decreto 261 de febrero de 2023 (gobierno de Gustavo Petro) fueron elevadas al 0,55%, 1,1% y 2,2%</w:t>
        </w:r>
      </w:hyperlink>
      <w:r>
        <w:rPr>
          <w:lang w:val="es-ES"/>
        </w:rPr>
        <w:t>. Pero ahora, con el Decreto 578 de mayo de 2025 (también del gobierno de Gustavo Petro) se elevan al 1,2%, 3,5% y 4,5%</w:t>
      </w:r>
    </w:p>
    <w:p w:rsidR="00F14E26" w:rsidRDefault="00F14E26" w:rsidP="00E97361">
      <w:pPr>
        <w:rPr>
          <w:lang w:val="es-ES"/>
        </w:rPr>
      </w:pPr>
    </w:p>
    <w:p w:rsidR="00243A1F" w:rsidRDefault="00F14E26" w:rsidP="00E97361">
      <w:pPr>
        <w:rPr>
          <w:lang w:val="es-ES"/>
        </w:rPr>
      </w:pPr>
      <w:r>
        <w:rPr>
          <w:lang w:val="es-ES"/>
        </w:rPr>
        <w:t>Por consiguiente, si las personas jurídicas obtienen ingresos que sí estén sujetos al impuesto de renta (es decir, ingresos que no les formen ni rentas exentas ni ingresos no gravados), en tal caso</w:t>
      </w:r>
      <w:r w:rsidR="00316E09">
        <w:rPr>
          <w:lang w:val="es-ES"/>
        </w:rPr>
        <w:t xml:space="preserve"> sobre dichos ingresos</w:t>
      </w:r>
      <w:r>
        <w:rPr>
          <w:lang w:val="es-ES"/>
        </w:rPr>
        <w:t xml:space="preserve"> tendr</w:t>
      </w:r>
      <w:r w:rsidR="00316E09">
        <w:rPr>
          <w:lang w:val="es-ES"/>
        </w:rPr>
        <w:t>án</w:t>
      </w:r>
      <w:r>
        <w:rPr>
          <w:lang w:val="es-ES"/>
        </w:rPr>
        <w:t xml:space="preserve"> que practicarse mayores autorretenciones (</w:t>
      </w:r>
      <w:hyperlink r:id="rId18" w:history="1">
        <w:r w:rsidRPr="00CA4C7E">
          <w:rPr>
            <w:rStyle w:val="Hipervnculo"/>
            <w:lang w:val="es-ES"/>
          </w:rPr>
          <w:t>las cuales se practican sin tomar en cuenta ninguna cuantía mínima</w:t>
        </w:r>
        <w:r w:rsidR="00316E09" w:rsidRPr="00CA4C7E">
          <w:rPr>
            <w:rStyle w:val="Hipervnculo"/>
            <w:lang w:val="es-ES"/>
          </w:rPr>
          <w:t>, pues dichas autorretenciones compensan la exoneración de los aportes de nómina; ver concepto DIAN 5622 de marzo de 2017</w:t>
        </w:r>
      </w:hyperlink>
      <w:r>
        <w:rPr>
          <w:lang w:val="es-ES"/>
        </w:rPr>
        <w:t>)</w:t>
      </w:r>
      <w:r w:rsidR="00316E09">
        <w:rPr>
          <w:lang w:val="es-ES"/>
        </w:rPr>
        <w:t>.</w:t>
      </w:r>
    </w:p>
    <w:p w:rsidR="00316E09" w:rsidRDefault="00316E09" w:rsidP="00E97361">
      <w:pPr>
        <w:rPr>
          <w:lang w:val="es-ES"/>
        </w:rPr>
      </w:pPr>
    </w:p>
    <w:p w:rsidR="00316E09" w:rsidRDefault="00316E09" w:rsidP="00E97361">
      <w:pPr>
        <w:rPr>
          <w:lang w:val="es-ES"/>
        </w:rPr>
      </w:pPr>
      <w:r>
        <w:rPr>
          <w:lang w:val="es-ES"/>
        </w:rPr>
        <w:t>Lo anterior implicará que muchas empresas se quedarán sin más recursos para sus flujos de caja con los cuales atienden otras obligaciones,</w:t>
      </w:r>
      <w:r w:rsidRPr="00316E09">
        <w:rPr>
          <w:lang w:val="es-ES"/>
        </w:rPr>
        <w:t xml:space="preserve"> lo cual las obligaría incluso a recurrir a préstamos para no presentar </w:t>
      </w:r>
      <w:r>
        <w:rPr>
          <w:lang w:val="es-ES"/>
        </w:rPr>
        <w:t>sus declaraciones mensuales de</w:t>
      </w:r>
      <w:r w:rsidRPr="00316E09">
        <w:rPr>
          <w:lang w:val="es-ES"/>
        </w:rPr>
        <w:t xml:space="preserve"> autorretenciones sin pago pues se darían por no presentadas</w:t>
      </w:r>
      <w:r>
        <w:rPr>
          <w:lang w:val="es-ES"/>
        </w:rPr>
        <w:t xml:space="preserve"> (ver artículo 580-1 del ET).</w:t>
      </w:r>
    </w:p>
    <w:p w:rsidR="00316E09" w:rsidRDefault="00316E09" w:rsidP="00E97361">
      <w:pPr>
        <w:rPr>
          <w:lang w:val="es-ES"/>
        </w:rPr>
      </w:pPr>
    </w:p>
    <w:p w:rsidR="00E97361" w:rsidRDefault="00316E09" w:rsidP="00E97361">
      <w:pPr>
        <w:rPr>
          <w:lang w:val="es-ES"/>
        </w:rPr>
      </w:pPr>
      <w:r>
        <w:rPr>
          <w:lang w:val="es-ES"/>
        </w:rPr>
        <w:t xml:space="preserve">Por tanto, </w:t>
      </w:r>
      <w:r w:rsidRPr="00316E09">
        <w:rPr>
          <w:lang w:val="es-ES"/>
        </w:rPr>
        <w:t xml:space="preserve">si el </w:t>
      </w:r>
      <w:r>
        <w:rPr>
          <w:lang w:val="es-ES"/>
        </w:rPr>
        <w:t xml:space="preserve">actual </w:t>
      </w:r>
      <w:r w:rsidRPr="00316E09">
        <w:rPr>
          <w:lang w:val="es-ES"/>
        </w:rPr>
        <w:t xml:space="preserve">gobierno necesita </w:t>
      </w:r>
      <w:r>
        <w:rPr>
          <w:lang w:val="es-ES"/>
        </w:rPr>
        <w:t>cubrir</w:t>
      </w:r>
      <w:r w:rsidRPr="00316E09">
        <w:rPr>
          <w:lang w:val="es-ES"/>
        </w:rPr>
        <w:t xml:space="preserve"> su</w:t>
      </w:r>
      <w:r>
        <w:rPr>
          <w:lang w:val="es-ES"/>
        </w:rPr>
        <w:t>s</w:t>
      </w:r>
      <w:r w:rsidRPr="00316E09">
        <w:rPr>
          <w:lang w:val="es-ES"/>
        </w:rPr>
        <w:t xml:space="preserve"> prepuesto</w:t>
      </w:r>
      <w:r>
        <w:rPr>
          <w:lang w:val="es-ES"/>
        </w:rPr>
        <w:t>s</w:t>
      </w:r>
      <w:r w:rsidRPr="00316E09">
        <w:rPr>
          <w:lang w:val="es-ES"/>
        </w:rPr>
        <w:t xml:space="preserve">, </w:t>
      </w:r>
      <w:r>
        <w:rPr>
          <w:lang w:val="es-ES"/>
        </w:rPr>
        <w:t xml:space="preserve">creemos que la mejor solución no era la de aumentarle las retenciones a las personas jurídicas sino la de disminuir sus gastos </w:t>
      </w:r>
      <w:proofErr w:type="spellStart"/>
      <w:r>
        <w:rPr>
          <w:lang w:val="es-ES"/>
        </w:rPr>
        <w:t>ostentososo</w:t>
      </w:r>
      <w:proofErr w:type="spellEnd"/>
      <w:r>
        <w:rPr>
          <w:lang w:val="es-ES"/>
        </w:rPr>
        <w:t xml:space="preserve"> (como los múltiples viajes constantes a lugares tal lejanos como la China, Francia y </w:t>
      </w:r>
      <w:proofErr w:type="spellStart"/>
      <w:r>
        <w:rPr>
          <w:lang w:val="es-ES"/>
        </w:rPr>
        <w:t>Dubai</w:t>
      </w:r>
      <w:proofErr w:type="spellEnd"/>
      <w:r>
        <w:rPr>
          <w:lang w:val="es-ES"/>
        </w:rPr>
        <w:t xml:space="preserve">). Incluso, </w:t>
      </w:r>
      <w:r w:rsidRPr="00316E09">
        <w:rPr>
          <w:lang w:val="es-ES"/>
        </w:rPr>
        <w:t xml:space="preserve">dejar de </w:t>
      </w:r>
      <w:proofErr w:type="spellStart"/>
      <w:r w:rsidRPr="00316E09">
        <w:rPr>
          <w:lang w:val="es-ES"/>
        </w:rPr>
        <w:t>insi</w:t>
      </w:r>
      <w:r>
        <w:rPr>
          <w:lang w:val="es-ES"/>
        </w:rPr>
        <w:t>sitr</w:t>
      </w:r>
      <w:proofErr w:type="spellEnd"/>
      <w:r w:rsidRPr="00316E09">
        <w:rPr>
          <w:lang w:val="es-ES"/>
        </w:rPr>
        <w:t xml:space="preserve"> en querer gastarse </w:t>
      </w:r>
      <w:r>
        <w:rPr>
          <w:lang w:val="es-ES"/>
        </w:rPr>
        <w:t>cerca de $</w:t>
      </w:r>
      <w:r w:rsidRPr="00316E09">
        <w:rPr>
          <w:lang w:val="es-ES"/>
        </w:rPr>
        <w:t xml:space="preserve">700.000.000.000 en </w:t>
      </w:r>
      <w:r>
        <w:rPr>
          <w:lang w:val="es-ES"/>
        </w:rPr>
        <w:t xml:space="preserve">una </w:t>
      </w:r>
      <w:r w:rsidRPr="00316E09">
        <w:rPr>
          <w:lang w:val="es-ES"/>
        </w:rPr>
        <w:t>consulta popular</w:t>
      </w:r>
      <w:r>
        <w:rPr>
          <w:lang w:val="es-ES"/>
        </w:rPr>
        <w:t xml:space="preserve"> que normalmente nunca superan el umbral exigido por la constitución</w:t>
      </w:r>
      <w:r w:rsidRPr="00316E09">
        <w:rPr>
          <w:lang w:val="es-ES"/>
        </w:rPr>
        <w:t xml:space="preserve">. </w:t>
      </w:r>
      <w:r>
        <w:rPr>
          <w:lang w:val="es-ES"/>
        </w:rPr>
        <w:t>O incluso, r</w:t>
      </w:r>
      <w:r w:rsidRPr="00316E09">
        <w:rPr>
          <w:lang w:val="es-ES"/>
        </w:rPr>
        <w:t>educie</w:t>
      </w:r>
      <w:r>
        <w:rPr>
          <w:lang w:val="es-ES"/>
        </w:rPr>
        <w:t>ndo</w:t>
      </w:r>
      <w:r w:rsidRPr="00316E09">
        <w:rPr>
          <w:lang w:val="es-ES"/>
        </w:rPr>
        <w:t xml:space="preserve"> el sueldo a los congresistas</w:t>
      </w:r>
      <w:r>
        <w:rPr>
          <w:lang w:val="es-ES"/>
        </w:rPr>
        <w:t>. Además, podría pensar en g</w:t>
      </w:r>
      <w:r w:rsidRPr="00316E09">
        <w:rPr>
          <w:lang w:val="es-ES"/>
        </w:rPr>
        <w:t xml:space="preserve">enerar nuevos ingresos </w:t>
      </w:r>
      <w:r>
        <w:rPr>
          <w:lang w:val="es-ES"/>
        </w:rPr>
        <w:t xml:space="preserve">como por </w:t>
      </w:r>
      <w:r w:rsidRPr="00316E09">
        <w:rPr>
          <w:lang w:val="es-ES"/>
        </w:rPr>
        <w:t xml:space="preserve">ejemplo </w:t>
      </w:r>
      <w:r>
        <w:rPr>
          <w:lang w:val="es-ES"/>
        </w:rPr>
        <w:t>el de cobrar</w:t>
      </w:r>
      <w:r w:rsidRPr="00316E09">
        <w:rPr>
          <w:lang w:val="es-ES"/>
        </w:rPr>
        <w:t xml:space="preserve"> pautas publicitarias a las empresas que quieran pautar en las páginas de</w:t>
      </w:r>
      <w:r>
        <w:rPr>
          <w:lang w:val="es-ES"/>
        </w:rPr>
        <w:t xml:space="preserve"> internet del</w:t>
      </w:r>
      <w:r w:rsidRPr="00316E09">
        <w:rPr>
          <w:lang w:val="es-ES"/>
        </w:rPr>
        <w:t xml:space="preserve"> estado que son altamente visitas como la propia página de la DIAN.</w:t>
      </w:r>
    </w:p>
    <w:p w:rsidR="00411B7E" w:rsidRDefault="00411B7E" w:rsidP="00316E09">
      <w:pPr>
        <w:rPr>
          <w:lang w:val="es-ES"/>
        </w:rPr>
      </w:pPr>
    </w:p>
    <w:p w:rsidR="00316E09" w:rsidRDefault="00316E09" w:rsidP="00316E09">
      <w:pPr>
        <w:rPr>
          <w:lang w:val="es-ES"/>
        </w:rPr>
      </w:pPr>
      <w:r>
        <w:rPr>
          <w:lang w:val="es-ES"/>
        </w:rPr>
        <w:lastRenderedPageBreak/>
        <w:t xml:space="preserve">Además, </w:t>
      </w:r>
      <w:r w:rsidR="00273159" w:rsidRPr="00273159">
        <w:rPr>
          <w:lang w:val="es-ES"/>
        </w:rPr>
        <w:t>si a una</w:t>
      </w:r>
      <w:r>
        <w:rPr>
          <w:lang w:val="es-ES"/>
        </w:rPr>
        <w:t xml:space="preserve"> sociedad del régimen ordinario</w:t>
      </w:r>
      <w:r w:rsidR="00273159" w:rsidRPr="00273159">
        <w:rPr>
          <w:lang w:val="es-ES"/>
        </w:rPr>
        <w:t xml:space="preserve"> le </w:t>
      </w:r>
      <w:r>
        <w:rPr>
          <w:lang w:val="es-ES"/>
        </w:rPr>
        <w:t>empezarán a quitar más recursos de sus flujos de caja para destinarlos al pago de mayores autorretenciones</w:t>
      </w:r>
      <w:r w:rsidR="00273159" w:rsidRPr="00273159">
        <w:rPr>
          <w:lang w:val="es-ES"/>
        </w:rPr>
        <w:t xml:space="preserve">, entonces </w:t>
      </w:r>
      <w:r>
        <w:rPr>
          <w:lang w:val="es-ES"/>
        </w:rPr>
        <w:t xml:space="preserve">muchas de ellas podrán pensar en tomar las siguientes dos opciones legales para esquivar dicha situación </w:t>
      </w:r>
    </w:p>
    <w:p w:rsidR="00273159" w:rsidRDefault="00316E09" w:rsidP="00316E09">
      <w:pPr>
        <w:pStyle w:val="Prrafodelista"/>
        <w:numPr>
          <w:ilvl w:val="0"/>
          <w:numId w:val="2"/>
        </w:numPr>
        <w:rPr>
          <w:lang w:val="es-ES"/>
        </w:rPr>
      </w:pPr>
      <w:r>
        <w:rPr>
          <w:lang w:val="es-ES"/>
        </w:rPr>
        <w:t xml:space="preserve">Hacer cuentas y optar por renunciar </w:t>
      </w:r>
      <w:r w:rsidR="00273159" w:rsidRPr="00316E09">
        <w:rPr>
          <w:lang w:val="es-ES"/>
        </w:rPr>
        <w:t xml:space="preserve">al beneficio de la exoneración de aportes de nómina. En efecto,  si renuncia a esa exoneración, y mejor paga </w:t>
      </w:r>
      <w:r>
        <w:rPr>
          <w:lang w:val="es-ES"/>
        </w:rPr>
        <w:t>el</w:t>
      </w:r>
      <w:r w:rsidR="00273159" w:rsidRPr="00316E09">
        <w:rPr>
          <w:lang w:val="es-ES"/>
        </w:rPr>
        <w:t xml:space="preserve"> 9% </w:t>
      </w:r>
      <w:r>
        <w:rPr>
          <w:lang w:val="es-ES"/>
        </w:rPr>
        <w:t xml:space="preserve">sobre sus pocos salarios, entonces ya no tendría que practicarse </w:t>
      </w:r>
      <w:proofErr w:type="spellStart"/>
      <w:r>
        <w:rPr>
          <w:lang w:val="es-ES"/>
        </w:rPr>
        <w:t>autorretencioines</w:t>
      </w:r>
      <w:proofErr w:type="spellEnd"/>
      <w:r>
        <w:rPr>
          <w:lang w:val="es-ES"/>
        </w:rPr>
        <w:t xml:space="preserve"> sobre ninguno de sus ingresos gravados</w:t>
      </w:r>
      <w:r w:rsidR="00C805B0">
        <w:rPr>
          <w:lang w:val="es-ES"/>
        </w:rPr>
        <w:t xml:space="preserve">. </w:t>
      </w:r>
      <w:r w:rsidR="00273159" w:rsidRPr="00316E09">
        <w:rPr>
          <w:lang w:val="es-ES"/>
        </w:rPr>
        <w:t>Además, ese 9% sobre la nómina es un gasto que sí es deducible.</w:t>
      </w:r>
    </w:p>
    <w:p w:rsidR="00C805B0" w:rsidRDefault="00C805B0" w:rsidP="00C805B0">
      <w:pPr>
        <w:pStyle w:val="Prrafodelista"/>
        <w:numPr>
          <w:ilvl w:val="0"/>
          <w:numId w:val="2"/>
        </w:numPr>
        <w:pBdr>
          <w:bottom w:val="single" w:sz="12" w:space="1" w:color="auto"/>
        </w:pBdr>
        <w:rPr>
          <w:lang w:val="es-ES"/>
        </w:rPr>
      </w:pPr>
      <w:r>
        <w:rPr>
          <w:lang w:val="es-ES"/>
        </w:rPr>
        <w:t xml:space="preserve">Las autorretenciones </w:t>
      </w:r>
      <w:r w:rsidR="00273159" w:rsidRPr="00C805B0">
        <w:rPr>
          <w:lang w:val="es-ES"/>
        </w:rPr>
        <w:t xml:space="preserve">no </w:t>
      </w:r>
      <w:r>
        <w:rPr>
          <w:lang w:val="es-ES"/>
        </w:rPr>
        <w:t>afectan a las</w:t>
      </w:r>
      <w:r w:rsidR="00273159" w:rsidRPr="00C805B0">
        <w:rPr>
          <w:lang w:val="es-ES"/>
        </w:rPr>
        <w:t xml:space="preserve"> sociedades en el régimen simple. Por tanto, m</w:t>
      </w:r>
      <w:r>
        <w:rPr>
          <w:lang w:val="es-ES"/>
        </w:rPr>
        <w:t xml:space="preserve">uchas sociedades pequeñas del régimen ordinario </w:t>
      </w:r>
      <w:r w:rsidRPr="00C805B0">
        <w:rPr>
          <w:lang w:val="es-ES"/>
        </w:rPr>
        <w:t xml:space="preserve">(en especial si sus ingresos anuales no superan los 100.000 </w:t>
      </w:r>
      <w:r>
        <w:rPr>
          <w:lang w:val="es-ES"/>
        </w:rPr>
        <w:t>UVT</w:t>
      </w:r>
      <w:r w:rsidRPr="00C805B0">
        <w:rPr>
          <w:lang w:val="es-ES"/>
        </w:rPr>
        <w:t>)</w:t>
      </w:r>
      <w:r>
        <w:rPr>
          <w:lang w:val="es-ES"/>
        </w:rPr>
        <w:t>, podrían pensar</w:t>
      </w:r>
      <w:r w:rsidR="00273159" w:rsidRPr="00C805B0">
        <w:rPr>
          <w:lang w:val="es-ES"/>
        </w:rPr>
        <w:t xml:space="preserve"> en liquidar</w:t>
      </w:r>
      <w:r>
        <w:rPr>
          <w:lang w:val="es-ES"/>
        </w:rPr>
        <w:t>se y volver a nacer de</w:t>
      </w:r>
      <w:r w:rsidR="00273159" w:rsidRPr="00C805B0">
        <w:rPr>
          <w:lang w:val="es-ES"/>
        </w:rPr>
        <w:t xml:space="preserve"> nuevo </w:t>
      </w:r>
      <w:r>
        <w:rPr>
          <w:lang w:val="es-ES"/>
        </w:rPr>
        <w:t xml:space="preserve">pero </w:t>
      </w:r>
      <w:r w:rsidR="00273159" w:rsidRPr="00C805B0">
        <w:rPr>
          <w:lang w:val="es-ES"/>
        </w:rPr>
        <w:t>en el régimen simple</w:t>
      </w:r>
      <w:r>
        <w:rPr>
          <w:lang w:val="es-ES"/>
        </w:rPr>
        <w:t xml:space="preserve">. </w:t>
      </w:r>
      <w:r w:rsidR="00273159" w:rsidRPr="00C805B0">
        <w:rPr>
          <w:lang w:val="es-ES"/>
        </w:rPr>
        <w:t>El reencauche de dicha sociedad bajo el régimen simple le permite tener exoneración de aportes y al mism</w:t>
      </w:r>
      <w:r>
        <w:rPr>
          <w:lang w:val="es-ES"/>
        </w:rPr>
        <w:t>o</w:t>
      </w:r>
      <w:r w:rsidR="00273159" w:rsidRPr="00C805B0">
        <w:rPr>
          <w:lang w:val="es-ES"/>
        </w:rPr>
        <w:t xml:space="preserve"> tiempo</w:t>
      </w:r>
      <w:r>
        <w:rPr>
          <w:lang w:val="es-ES"/>
        </w:rPr>
        <w:t xml:space="preserve"> estar exonerado de retenciones y autorretenciones.</w:t>
      </w:r>
    </w:p>
    <w:p w:rsidR="00955E9A" w:rsidRDefault="00955E9A" w:rsidP="00C805B0">
      <w:pPr>
        <w:rPr>
          <w:lang w:val="es-ES"/>
        </w:rPr>
      </w:pPr>
    </w:p>
    <w:p w:rsidR="00C805B0" w:rsidRDefault="00000000" w:rsidP="00C805B0">
      <w:pPr>
        <w:rPr>
          <w:lang w:val="es-ES"/>
        </w:rPr>
      </w:pPr>
      <w:hyperlink r:id="rId19" w:history="1">
        <w:r w:rsidR="00C805B0" w:rsidRPr="00C805B0">
          <w:rPr>
            <w:rStyle w:val="Hipervnculo"/>
            <w:lang w:val="es-ES"/>
          </w:rPr>
          <w:t>Retenciones a título de impuestos nacionales durante el 2025</w:t>
        </w:r>
      </w:hyperlink>
    </w:p>
    <w:p w:rsidR="00C805B0" w:rsidRDefault="00C805B0" w:rsidP="00C805B0">
      <w:pPr>
        <w:rPr>
          <w:lang w:val="es-ES"/>
        </w:rPr>
      </w:pPr>
    </w:p>
    <w:p w:rsidR="00955E9A" w:rsidRPr="00955E9A" w:rsidRDefault="00955E9A" w:rsidP="00955E9A">
      <w:pPr>
        <w:rPr>
          <w:rStyle w:val="Hipervnculo"/>
        </w:rPr>
      </w:pPr>
      <w:r>
        <w:fldChar w:fldCharType="begin"/>
      </w:r>
      <w:r>
        <w:instrText>HYPERLINK "https://actualicese.com/archivo/retenciones-y-autorretenciones-en-operaciones-donde-participe-alguien-del-regimen-simple/"</w:instrText>
      </w:r>
      <w:r>
        <w:fldChar w:fldCharType="separate"/>
      </w:r>
      <w:r w:rsidRPr="00955E9A">
        <w:rPr>
          <w:rStyle w:val="Hipervnculo"/>
        </w:rPr>
        <w:t>Retenciones y autorretenciones en operaciones donde participe alguien del régimen simple</w:t>
      </w:r>
    </w:p>
    <w:p w:rsidR="00955E9A" w:rsidRPr="00955E9A" w:rsidRDefault="00955E9A" w:rsidP="00955E9A">
      <w:r>
        <w:fldChar w:fldCharType="end"/>
      </w:r>
    </w:p>
    <w:p w:rsidR="00C805B0" w:rsidRPr="00C805B0" w:rsidRDefault="00C805B0" w:rsidP="00C805B0">
      <w:pPr>
        <w:rPr>
          <w:lang w:val="es-ES"/>
        </w:rPr>
      </w:pPr>
    </w:p>
    <w:sectPr w:rsidR="00C805B0" w:rsidRPr="00C805B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5134F"/>
    <w:multiLevelType w:val="hybridMultilevel"/>
    <w:tmpl w:val="BE10196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EBC20C7"/>
    <w:multiLevelType w:val="hybridMultilevel"/>
    <w:tmpl w:val="8DE2AA3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003585457">
    <w:abstractNumId w:val="0"/>
  </w:num>
  <w:num w:numId="2" w16cid:durableId="4632330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CF"/>
    <w:rsid w:val="00243A1F"/>
    <w:rsid w:val="00273159"/>
    <w:rsid w:val="00316E09"/>
    <w:rsid w:val="003A5681"/>
    <w:rsid w:val="003F398C"/>
    <w:rsid w:val="004026B8"/>
    <w:rsid w:val="00411B7E"/>
    <w:rsid w:val="00431A86"/>
    <w:rsid w:val="00450DCF"/>
    <w:rsid w:val="00643A8D"/>
    <w:rsid w:val="007B71E0"/>
    <w:rsid w:val="008207BF"/>
    <w:rsid w:val="00955E9A"/>
    <w:rsid w:val="00AC4A41"/>
    <w:rsid w:val="00B857FE"/>
    <w:rsid w:val="00C333B5"/>
    <w:rsid w:val="00C805B0"/>
    <w:rsid w:val="00CA4C7E"/>
    <w:rsid w:val="00CB47F9"/>
    <w:rsid w:val="00E97361"/>
    <w:rsid w:val="00F14E26"/>
    <w:rsid w:val="00FA7A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EA6CA"/>
  <w15:chartTrackingRefBased/>
  <w15:docId w15:val="{62517AB0-CF68-084C-9D6D-D1476DEF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A4C7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B857F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A7A82"/>
    <w:rPr>
      <w:color w:val="0563C1" w:themeColor="hyperlink"/>
      <w:u w:val="single"/>
    </w:rPr>
  </w:style>
  <w:style w:type="character" w:styleId="Mencinsinresolver">
    <w:name w:val="Unresolved Mention"/>
    <w:basedOn w:val="Fuentedeprrafopredeter"/>
    <w:uiPriority w:val="99"/>
    <w:semiHidden/>
    <w:unhideWhenUsed/>
    <w:rsid w:val="00FA7A82"/>
    <w:rPr>
      <w:color w:val="605E5C"/>
      <w:shd w:val="clear" w:color="auto" w:fill="E1DFDD"/>
    </w:rPr>
  </w:style>
  <w:style w:type="paragraph" w:styleId="Prrafodelista">
    <w:name w:val="List Paragraph"/>
    <w:basedOn w:val="Normal"/>
    <w:uiPriority w:val="34"/>
    <w:qFormat/>
    <w:rsid w:val="00411B7E"/>
    <w:pPr>
      <w:ind w:left="720"/>
      <w:contextualSpacing/>
    </w:pPr>
  </w:style>
  <w:style w:type="character" w:customStyle="1" w:styleId="Ttulo2Car">
    <w:name w:val="Título 2 Car"/>
    <w:basedOn w:val="Fuentedeprrafopredeter"/>
    <w:link w:val="Ttulo2"/>
    <w:uiPriority w:val="9"/>
    <w:rsid w:val="00B857FE"/>
    <w:rPr>
      <w:rFonts w:asciiTheme="majorHAnsi" w:eastAsiaTheme="majorEastAsia" w:hAnsiTheme="majorHAnsi" w:cstheme="majorBidi"/>
      <w:color w:val="2F5496" w:themeColor="accent1" w:themeShade="BF"/>
      <w:sz w:val="26"/>
      <w:szCs w:val="26"/>
    </w:rPr>
  </w:style>
  <w:style w:type="character" w:customStyle="1" w:styleId="Ttulo1Car">
    <w:name w:val="Título 1 Car"/>
    <w:basedOn w:val="Fuentedeprrafopredeter"/>
    <w:link w:val="Ttulo1"/>
    <w:uiPriority w:val="9"/>
    <w:rsid w:val="00CA4C7E"/>
    <w:rPr>
      <w:rFonts w:asciiTheme="majorHAnsi" w:eastAsiaTheme="majorEastAsia" w:hAnsiTheme="majorHAnsi" w:cstheme="majorBidi"/>
      <w:color w:val="2F5496" w:themeColor="accent1" w:themeShade="BF"/>
      <w:sz w:val="32"/>
      <w:szCs w:val="32"/>
    </w:rPr>
  </w:style>
  <w:style w:type="character" w:styleId="Hipervnculovisitado">
    <w:name w:val="FollowedHyperlink"/>
    <w:basedOn w:val="Fuentedeprrafopredeter"/>
    <w:uiPriority w:val="99"/>
    <w:semiHidden/>
    <w:unhideWhenUsed/>
    <w:rsid w:val="00955E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28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mana.com/nacion/articulo/demanda-de-nulidad-tendria-en-vilo-el-decreto-que-expidio-el-gobierno-petro-para-adelantar-el-cobro-de-la-retencion-en-la-fuente/202558/" TargetMode="External"/><Relationship Id="rId13" Type="http://schemas.openxmlformats.org/officeDocument/2006/relationships/hyperlink" Target="https://normograma.dian.gov.co/dian/compilacion/docs/decreto_1625_2016.htm" TargetMode="External"/><Relationship Id="rId18" Type="http://schemas.openxmlformats.org/officeDocument/2006/relationships/hyperlink" Target="https://actualicese.com/archivo/autorretencion-a-titulo-de-renta-no-requiere-cuantias-minima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minhacienda.gov.co/normativa/decretos/2025/-/document_library/eryu/view_file/2414330" TargetMode="External"/><Relationship Id="rId12" Type="http://schemas.openxmlformats.org/officeDocument/2006/relationships/hyperlink" Target="https://normograma.dian.gov.co/dian/compilacion/docs/decreto_1625_2016.htm" TargetMode="External"/><Relationship Id="rId17" Type="http://schemas.openxmlformats.org/officeDocument/2006/relationships/hyperlink" Target="https://actualicese.com/autorretenciones-especiales-a-titulo-de-renta-aumentan-a-partir-de-marzo-1-de-2023/" TargetMode="External"/><Relationship Id="rId2" Type="http://schemas.openxmlformats.org/officeDocument/2006/relationships/styles" Target="styles.xml"/><Relationship Id="rId16" Type="http://schemas.openxmlformats.org/officeDocument/2006/relationships/hyperlink" Target="https://normograma.dian.gov.co/dian/compilacion/docs/decreto_1625_2016.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elespectador.com/economia/german-avila-nuevo-ministro-de-hacienda-se-pronuncia-mi-designacion-no-debe-producir-sobresaltos-en-la-economia-noticias-hoy/" TargetMode="External"/><Relationship Id="rId11" Type="http://schemas.openxmlformats.org/officeDocument/2006/relationships/hyperlink" Target="https://normograma.dian.gov.co/dian/compilacion/docs/decreto_1625_2016.htm" TargetMode="External"/><Relationship Id="rId5" Type="http://schemas.openxmlformats.org/officeDocument/2006/relationships/hyperlink" Target="https://www.minhacienda.gov.co/normativa/proyectos-de-decretos/2025" TargetMode="External"/><Relationship Id="rId15" Type="http://schemas.openxmlformats.org/officeDocument/2006/relationships/hyperlink" Target="https://normograma.dian.gov.co/dian/compilacion/docs/decreto_1625_2016.htm" TargetMode="External"/><Relationship Id="rId10" Type="http://schemas.openxmlformats.org/officeDocument/2006/relationships/hyperlink" Target="https://www.dian.gov.co/normatividad/Documents/ABC-Decreto-0572-2025.pdf" TargetMode="External"/><Relationship Id="rId19" Type="http://schemas.openxmlformats.org/officeDocument/2006/relationships/hyperlink" Target="https://actualicese.com/tablas-en-word-de-retencion-en-la-fuente-a-titulo-de-impuestos-nacionales-durante-el-ano-fiscal-2025/" TargetMode="External"/><Relationship Id="rId4" Type="http://schemas.openxmlformats.org/officeDocument/2006/relationships/webSettings" Target="webSettings.xml"/><Relationship Id="rId9" Type="http://schemas.openxmlformats.org/officeDocument/2006/relationships/hyperlink" Target="https://normograma.dian.gov.co/dian/compilacion/docs/decreto_1625_2016.htm" TargetMode="External"/><Relationship Id="rId14" Type="http://schemas.openxmlformats.org/officeDocument/2006/relationships/hyperlink" Target="https://normograma.dian.gov.co/dian/compilacion/docs/decreto_1625_2016.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4</Pages>
  <Words>1734</Words>
  <Characters>9541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13</cp:revision>
  <dcterms:created xsi:type="dcterms:W3CDTF">2025-06-02T18:36:00Z</dcterms:created>
  <dcterms:modified xsi:type="dcterms:W3CDTF">2025-11-20T20:48:00Z</dcterms:modified>
</cp:coreProperties>
</file>